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4E6D860" w14:textId="224486DF" w:rsidR="00EA7747" w:rsidRPr="00EA7747" w:rsidRDefault="007612E3" w:rsidP="00EA7747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EA7747" w:rsidRPr="00EA7747">
        <w:rPr>
          <w:b/>
          <w:sz w:val="24"/>
        </w:rPr>
        <w:t>„Oprava chodníku na ul. L</w:t>
      </w:r>
      <w:r>
        <w:rPr>
          <w:b/>
          <w:sz w:val="24"/>
        </w:rPr>
        <w:t>idická</w:t>
      </w:r>
      <w:r w:rsidR="00EA7747" w:rsidRPr="00EA7747">
        <w:rPr>
          <w:b/>
          <w:sz w:val="24"/>
        </w:rPr>
        <w:t xml:space="preserve"> v Šumperku“</w:t>
      </w: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1DCB" w14:textId="77777777" w:rsidR="006E7B3A" w:rsidRDefault="006E7B3A" w:rsidP="00DD2D1A">
      <w:r>
        <w:separator/>
      </w:r>
    </w:p>
  </w:endnote>
  <w:endnote w:type="continuationSeparator" w:id="0">
    <w:p w14:paraId="52EF7E5B" w14:textId="77777777" w:rsidR="006E7B3A" w:rsidRDefault="006E7B3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69F0" w14:textId="77777777" w:rsidR="006E7B3A" w:rsidRDefault="006E7B3A" w:rsidP="00DD2D1A">
      <w:r>
        <w:separator/>
      </w:r>
    </w:p>
  </w:footnote>
  <w:footnote w:type="continuationSeparator" w:id="0">
    <w:p w14:paraId="120752FB" w14:textId="77777777" w:rsidR="006E7B3A" w:rsidRDefault="006E7B3A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00C5"/>
    <w:rsid w:val="001E5D32"/>
    <w:rsid w:val="001F678D"/>
    <w:rsid w:val="002204F0"/>
    <w:rsid w:val="00264AF3"/>
    <w:rsid w:val="00282CB6"/>
    <w:rsid w:val="00330214"/>
    <w:rsid w:val="00341780"/>
    <w:rsid w:val="00362889"/>
    <w:rsid w:val="00427F53"/>
    <w:rsid w:val="004E5CF8"/>
    <w:rsid w:val="00523905"/>
    <w:rsid w:val="00577590"/>
    <w:rsid w:val="005A2013"/>
    <w:rsid w:val="005F4503"/>
    <w:rsid w:val="00611022"/>
    <w:rsid w:val="00616F6D"/>
    <w:rsid w:val="006243A4"/>
    <w:rsid w:val="00646EE4"/>
    <w:rsid w:val="00673CFA"/>
    <w:rsid w:val="006E7B3A"/>
    <w:rsid w:val="00736901"/>
    <w:rsid w:val="00744EEF"/>
    <w:rsid w:val="007612E3"/>
    <w:rsid w:val="007810C3"/>
    <w:rsid w:val="007E026F"/>
    <w:rsid w:val="008433DF"/>
    <w:rsid w:val="0088076D"/>
    <w:rsid w:val="0089233D"/>
    <w:rsid w:val="00895BB1"/>
    <w:rsid w:val="008F3DCB"/>
    <w:rsid w:val="00AA7B18"/>
    <w:rsid w:val="00B24BD0"/>
    <w:rsid w:val="00B469DF"/>
    <w:rsid w:val="00B86FF6"/>
    <w:rsid w:val="00BB5818"/>
    <w:rsid w:val="00BC6E27"/>
    <w:rsid w:val="00C07E8B"/>
    <w:rsid w:val="00CE6AD7"/>
    <w:rsid w:val="00DA7399"/>
    <w:rsid w:val="00DD2253"/>
    <w:rsid w:val="00DD2D1A"/>
    <w:rsid w:val="00E23D24"/>
    <w:rsid w:val="00E43C1B"/>
    <w:rsid w:val="00E60410"/>
    <w:rsid w:val="00E60FA0"/>
    <w:rsid w:val="00E96D8A"/>
    <w:rsid w:val="00EA7747"/>
    <w:rsid w:val="00F437E0"/>
    <w:rsid w:val="00F6436A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Godinová Martina</cp:lastModifiedBy>
  <cp:revision>3</cp:revision>
  <dcterms:created xsi:type="dcterms:W3CDTF">2025-06-20T06:57:00Z</dcterms:created>
  <dcterms:modified xsi:type="dcterms:W3CDTF">2025-06-20T08:46:00Z</dcterms:modified>
</cp:coreProperties>
</file>